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1005F" w14:textId="5F613128" w:rsidR="00FD0A4F" w:rsidRPr="00FD0A4F" w:rsidRDefault="00FD0A4F" w:rsidP="00FD0A4F">
      <w:pPr>
        <w:rPr>
          <w:rFonts w:ascii="Century Gothic" w:hAnsi="Century Gothic"/>
          <w:b/>
          <w:bCs/>
        </w:rPr>
      </w:pPr>
      <w:r w:rsidRPr="00FD0A4F">
        <w:rPr>
          <w:rFonts w:ascii="Century Gothic" w:hAnsi="Century Gothic"/>
          <w:b/>
          <w:bCs/>
        </w:rPr>
        <w:t>Rules of Origin – update from BEIS (January 2021)</w:t>
      </w:r>
    </w:p>
    <w:p w14:paraId="4D96DD53" w14:textId="77777777" w:rsidR="00FD0A4F" w:rsidRDefault="00FD0A4F" w:rsidP="00FD0A4F">
      <w:pPr>
        <w:rPr>
          <w:rFonts w:ascii="Century Gothic" w:hAnsi="Century Gothic"/>
        </w:rPr>
      </w:pPr>
    </w:p>
    <w:p w14:paraId="3E1C77D4" w14:textId="0DE0B589" w:rsidR="00FD0A4F" w:rsidRPr="00FD0A4F" w:rsidRDefault="00FD0A4F" w:rsidP="00FD0A4F">
      <w:pPr>
        <w:rPr>
          <w:rFonts w:ascii="Century Gothic" w:hAnsi="Century Gothic"/>
        </w:rPr>
      </w:pPr>
      <w:proofErr w:type="spellStart"/>
      <w:r w:rsidRPr="00FD0A4F">
        <w:rPr>
          <w:rFonts w:ascii="Century Gothic" w:hAnsi="Century Gothic"/>
        </w:rPr>
        <w:t>RoW</w:t>
      </w:r>
      <w:proofErr w:type="spellEnd"/>
      <w:r w:rsidRPr="00FD0A4F">
        <w:rPr>
          <w:rFonts w:ascii="Century Gothic" w:hAnsi="Century Gothic"/>
        </w:rPr>
        <w:t xml:space="preserve">-origin goods that are released into free circulation (i.e. customs cleared) in the EU or UK, if they are then sent to the other party without further processing that would meet the product-specific rules of origin in the UK-EU </w:t>
      </w:r>
      <w:hyperlink r:id="rId5" w:history="1">
        <w:r w:rsidRPr="00FD0A4F">
          <w:rPr>
            <w:rStyle w:val="Hyperlink"/>
            <w:rFonts w:ascii="Century Gothic" w:hAnsi="Century Gothic"/>
          </w:rPr>
          <w:t>Trade and Cooperation Agreement</w:t>
        </w:r>
      </w:hyperlink>
      <w:r w:rsidRPr="00FD0A4F">
        <w:rPr>
          <w:rFonts w:ascii="Century Gothic" w:hAnsi="Century Gothic"/>
        </w:rPr>
        <w:t xml:space="preserve"> (TCA), will have tariffs applied to them no matter what length of time they spend in one territory, unless they are kept under customs supervision while there. To avoid paying duties on the initial import, the first option that would be available if a company is holding on to the goods in the UK or EU for any significant length of time ahead of re-exporting them, would be to apply to either run yourself or store the goods in another </w:t>
      </w:r>
      <w:hyperlink r:id="rId6" w:history="1">
        <w:r w:rsidRPr="00FD0A4F">
          <w:rPr>
            <w:rStyle w:val="Hyperlink"/>
            <w:rFonts w:ascii="Century Gothic" w:hAnsi="Century Gothic"/>
          </w:rPr>
          <w:t>customs warehouse</w:t>
        </w:r>
      </w:hyperlink>
      <w:r w:rsidRPr="00FD0A4F">
        <w:rPr>
          <w:rFonts w:ascii="Century Gothic" w:hAnsi="Century Gothic"/>
        </w:rPr>
        <w:t xml:space="preserve"> and use the </w:t>
      </w:r>
      <w:hyperlink r:id="rId7" w:history="1">
        <w:r w:rsidRPr="00FD0A4F">
          <w:rPr>
            <w:rStyle w:val="Hyperlink"/>
            <w:rFonts w:ascii="Century Gothic" w:hAnsi="Century Gothic"/>
          </w:rPr>
          <w:t>Transit procedure</w:t>
        </w:r>
      </w:hyperlink>
      <w:r w:rsidRPr="00FD0A4F">
        <w:rPr>
          <w:rFonts w:ascii="Century Gothic" w:hAnsi="Century Gothic"/>
        </w:rPr>
        <w:t xml:space="preserve"> on shipping goods to it, so the goods would effectively never clear customs in the first place. </w:t>
      </w:r>
    </w:p>
    <w:p w14:paraId="652DCCF7" w14:textId="77777777" w:rsidR="00FD0A4F" w:rsidRPr="00FD0A4F" w:rsidRDefault="00FD0A4F" w:rsidP="00FD0A4F">
      <w:pPr>
        <w:rPr>
          <w:rFonts w:ascii="Century Gothic" w:hAnsi="Century Gothic"/>
        </w:rPr>
      </w:pPr>
      <w:r w:rsidRPr="00FD0A4F">
        <w:rPr>
          <w:rFonts w:ascii="Century Gothic" w:hAnsi="Century Gothic"/>
        </w:rPr>
        <w:t> </w:t>
      </w:r>
    </w:p>
    <w:p w14:paraId="291D0E7A" w14:textId="77777777" w:rsidR="00FD0A4F" w:rsidRPr="00FD0A4F" w:rsidRDefault="00FD0A4F" w:rsidP="00FD0A4F">
      <w:pPr>
        <w:rPr>
          <w:rFonts w:ascii="Century Gothic" w:hAnsi="Century Gothic"/>
        </w:rPr>
      </w:pPr>
      <w:r w:rsidRPr="00FD0A4F">
        <w:rPr>
          <w:rFonts w:ascii="Century Gothic" w:hAnsi="Century Gothic"/>
        </w:rPr>
        <w:t xml:space="preserve">Where there is a preferential trading arrangement in place between the EU or the UK and the third country where the </w:t>
      </w:r>
      <w:proofErr w:type="spellStart"/>
      <w:r w:rsidRPr="00FD0A4F">
        <w:rPr>
          <w:rFonts w:ascii="Century Gothic" w:hAnsi="Century Gothic"/>
        </w:rPr>
        <w:t>RoW</w:t>
      </w:r>
      <w:proofErr w:type="spellEnd"/>
      <w:r w:rsidRPr="00FD0A4F">
        <w:rPr>
          <w:rFonts w:ascii="Century Gothic" w:hAnsi="Century Gothic"/>
        </w:rPr>
        <w:t xml:space="preserve"> good originates from (</w:t>
      </w:r>
      <w:proofErr w:type="gramStart"/>
      <w:r w:rsidRPr="00FD0A4F">
        <w:rPr>
          <w:rFonts w:ascii="Century Gothic" w:hAnsi="Century Gothic"/>
        </w:rPr>
        <w:t>e.g.</w:t>
      </w:r>
      <w:proofErr w:type="gramEnd"/>
      <w:r w:rsidRPr="00FD0A4F">
        <w:rPr>
          <w:rFonts w:ascii="Century Gothic" w:hAnsi="Century Gothic"/>
        </w:rPr>
        <w:t xml:space="preserve"> Japan), businesses could check the ‘Direct Transport’ or ‘Non-Alteration’ clause of the relevant agreement to determine the conditions under which </w:t>
      </w:r>
      <w:proofErr w:type="spellStart"/>
      <w:r w:rsidRPr="00FD0A4F">
        <w:rPr>
          <w:rFonts w:ascii="Century Gothic" w:hAnsi="Century Gothic"/>
        </w:rPr>
        <w:t>RoW</w:t>
      </w:r>
      <w:proofErr w:type="spellEnd"/>
      <w:r w:rsidRPr="00FD0A4F">
        <w:rPr>
          <w:rFonts w:ascii="Century Gothic" w:hAnsi="Century Gothic"/>
        </w:rPr>
        <w:t>-origin goods could transit through the UK or the EU and still be imported tariff-free into the final destination. However, these clauses often stipulate that the goods must remain under customs supervision in the middle country in the chain.</w:t>
      </w:r>
    </w:p>
    <w:p w14:paraId="5AC123A1" w14:textId="77777777" w:rsidR="00FD0A4F" w:rsidRPr="00FD0A4F" w:rsidRDefault="00FD0A4F" w:rsidP="00FD0A4F">
      <w:pPr>
        <w:rPr>
          <w:rFonts w:ascii="Century Gothic" w:hAnsi="Century Gothic"/>
        </w:rPr>
      </w:pPr>
      <w:r w:rsidRPr="00FD0A4F">
        <w:rPr>
          <w:rFonts w:ascii="Century Gothic" w:hAnsi="Century Gothic"/>
        </w:rPr>
        <w:t> </w:t>
      </w:r>
    </w:p>
    <w:p w14:paraId="3E80B201" w14:textId="77777777" w:rsidR="00FD0A4F" w:rsidRPr="00FD0A4F" w:rsidRDefault="00FD0A4F" w:rsidP="00FD0A4F">
      <w:pPr>
        <w:rPr>
          <w:rFonts w:ascii="Century Gothic" w:hAnsi="Century Gothic"/>
        </w:rPr>
      </w:pPr>
      <w:r w:rsidRPr="00FD0A4F">
        <w:rPr>
          <w:rFonts w:ascii="Century Gothic" w:hAnsi="Century Gothic"/>
        </w:rPr>
        <w:t>EU-origin goods that are released into free circulation (</w:t>
      </w:r>
      <w:proofErr w:type="gramStart"/>
      <w:r w:rsidRPr="00FD0A4F">
        <w:rPr>
          <w:rFonts w:ascii="Century Gothic" w:hAnsi="Century Gothic"/>
        </w:rPr>
        <w:t>i.e.</w:t>
      </w:r>
      <w:proofErr w:type="gramEnd"/>
      <w:r w:rsidRPr="00FD0A4F">
        <w:rPr>
          <w:rFonts w:ascii="Century Gothic" w:hAnsi="Century Gothic"/>
        </w:rPr>
        <w:t xml:space="preserve"> customs cleared) in the UK, if they are then sent back to the EU without any significant processing (see below for definitions of what is not enough), will have tariffs applied to them as well. This is also the case for EU-origin goods which are being moved from Great Britain to Northern Ireland and are considered </w:t>
      </w:r>
      <w:hyperlink r:id="rId8" w:history="1">
        <w:r w:rsidRPr="00FD0A4F">
          <w:rPr>
            <w:rStyle w:val="Hyperlink"/>
            <w:rFonts w:ascii="Century Gothic" w:hAnsi="Century Gothic"/>
          </w:rPr>
          <w:t>‘at risk’</w:t>
        </w:r>
      </w:hyperlink>
      <w:r w:rsidRPr="00FD0A4F">
        <w:rPr>
          <w:rFonts w:ascii="Century Gothic" w:hAnsi="Century Gothic"/>
        </w:rPr>
        <w:t xml:space="preserve"> of entering the EU.  </w:t>
      </w:r>
    </w:p>
    <w:p w14:paraId="6A399405" w14:textId="77777777" w:rsidR="00FD0A4F" w:rsidRPr="00FD0A4F" w:rsidRDefault="00FD0A4F" w:rsidP="00FD0A4F">
      <w:pPr>
        <w:rPr>
          <w:rFonts w:ascii="Century Gothic" w:hAnsi="Century Gothic"/>
        </w:rPr>
      </w:pPr>
      <w:r w:rsidRPr="00FD0A4F">
        <w:rPr>
          <w:rFonts w:ascii="Century Gothic" w:hAnsi="Century Gothic"/>
        </w:rPr>
        <w:t> </w:t>
      </w:r>
    </w:p>
    <w:p w14:paraId="3DF084D8" w14:textId="77777777" w:rsidR="00FD0A4F" w:rsidRPr="00FD0A4F" w:rsidRDefault="00FD0A4F" w:rsidP="00FD0A4F">
      <w:pPr>
        <w:rPr>
          <w:rFonts w:ascii="Century Gothic" w:hAnsi="Century Gothic"/>
        </w:rPr>
      </w:pPr>
      <w:r w:rsidRPr="00FD0A4F">
        <w:rPr>
          <w:rFonts w:ascii="Century Gothic" w:hAnsi="Century Gothic"/>
        </w:rPr>
        <w:t>To be eligible for zero tariff trade using the UK-EU TCA, there would need to have been some processing in the UK before exporting to the EU, or vice versa. The processing that must take place must be more significant than the following operations (which are taken from Article ORIG-7 of the UK-EU TCA [on page 30], with the agricultural and textiles-specific examples stripped out):</w:t>
      </w:r>
    </w:p>
    <w:p w14:paraId="4F252411" w14:textId="77777777" w:rsidR="00FD0A4F" w:rsidRPr="00FD0A4F" w:rsidRDefault="00FD0A4F" w:rsidP="00FD0A4F">
      <w:pPr>
        <w:rPr>
          <w:rFonts w:ascii="Century Gothic" w:hAnsi="Century Gothic"/>
        </w:rPr>
      </w:pPr>
      <w:r w:rsidRPr="00FD0A4F">
        <w:rPr>
          <w:rFonts w:ascii="Century Gothic" w:hAnsi="Century Gothic"/>
        </w:rPr>
        <w:t> </w:t>
      </w:r>
    </w:p>
    <w:p w14:paraId="5EE57298"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preserving operations such as drying, freezing, keeping in brine and other similar operations where their sole purpose is to ensure that the products remain in good condition during transport and </w:t>
      </w:r>
      <w:proofErr w:type="gramStart"/>
      <w:r w:rsidRPr="00FD0A4F">
        <w:rPr>
          <w:rFonts w:ascii="Century Gothic" w:eastAsia="Times New Roman" w:hAnsi="Century Gothic"/>
        </w:rPr>
        <w:t>storage;</w:t>
      </w:r>
      <w:proofErr w:type="gramEnd"/>
      <w:r w:rsidRPr="00FD0A4F">
        <w:rPr>
          <w:rFonts w:ascii="Century Gothic" w:eastAsia="Times New Roman" w:hAnsi="Century Gothic"/>
        </w:rPr>
        <w:t xml:space="preserve"> </w:t>
      </w:r>
    </w:p>
    <w:p w14:paraId="236A29EE"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breaking-up or assembly of </w:t>
      </w:r>
      <w:proofErr w:type="gramStart"/>
      <w:r w:rsidRPr="00FD0A4F">
        <w:rPr>
          <w:rFonts w:ascii="Century Gothic" w:eastAsia="Times New Roman" w:hAnsi="Century Gothic"/>
        </w:rPr>
        <w:t>packages;</w:t>
      </w:r>
      <w:proofErr w:type="gramEnd"/>
      <w:r w:rsidRPr="00FD0A4F">
        <w:rPr>
          <w:rFonts w:ascii="Century Gothic" w:eastAsia="Times New Roman" w:hAnsi="Century Gothic"/>
        </w:rPr>
        <w:t xml:space="preserve"> </w:t>
      </w:r>
    </w:p>
    <w:p w14:paraId="3AD75AD7"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washing, cleaning; removal of dust, oxide, oil, paint or other </w:t>
      </w:r>
      <w:proofErr w:type="gramStart"/>
      <w:r w:rsidRPr="00FD0A4F">
        <w:rPr>
          <w:rFonts w:ascii="Century Gothic" w:eastAsia="Times New Roman" w:hAnsi="Century Gothic"/>
        </w:rPr>
        <w:t>coverings;</w:t>
      </w:r>
      <w:proofErr w:type="gramEnd"/>
      <w:r w:rsidRPr="00FD0A4F">
        <w:rPr>
          <w:rFonts w:ascii="Century Gothic" w:eastAsia="Times New Roman" w:hAnsi="Century Gothic"/>
        </w:rPr>
        <w:t xml:space="preserve"> </w:t>
      </w:r>
    </w:p>
    <w:p w14:paraId="72C4B99A"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simple painting and polishing </w:t>
      </w:r>
      <w:proofErr w:type="gramStart"/>
      <w:r w:rsidRPr="00FD0A4F">
        <w:rPr>
          <w:rFonts w:ascii="Century Gothic" w:eastAsia="Times New Roman" w:hAnsi="Century Gothic"/>
        </w:rPr>
        <w:t>operations;</w:t>
      </w:r>
      <w:proofErr w:type="gramEnd"/>
      <w:r w:rsidRPr="00FD0A4F">
        <w:rPr>
          <w:rFonts w:ascii="Century Gothic" w:eastAsia="Times New Roman" w:hAnsi="Century Gothic"/>
        </w:rPr>
        <w:t xml:space="preserve"> </w:t>
      </w:r>
    </w:p>
    <w:p w14:paraId="00113E70"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sharpening, simple grinding or simple </w:t>
      </w:r>
      <w:proofErr w:type="gramStart"/>
      <w:r w:rsidRPr="00FD0A4F">
        <w:rPr>
          <w:rFonts w:ascii="Century Gothic" w:eastAsia="Times New Roman" w:hAnsi="Century Gothic"/>
        </w:rPr>
        <w:t>cutting;</w:t>
      </w:r>
      <w:proofErr w:type="gramEnd"/>
      <w:r w:rsidRPr="00FD0A4F">
        <w:rPr>
          <w:rFonts w:ascii="Century Gothic" w:eastAsia="Times New Roman" w:hAnsi="Century Gothic"/>
        </w:rPr>
        <w:t xml:space="preserve"> </w:t>
      </w:r>
    </w:p>
    <w:p w14:paraId="3094FAF9"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sifting, screening, sorting, classifying, grading, matching including the making-up of sets of </w:t>
      </w:r>
      <w:proofErr w:type="gramStart"/>
      <w:r w:rsidRPr="00FD0A4F">
        <w:rPr>
          <w:rFonts w:ascii="Century Gothic" w:eastAsia="Times New Roman" w:hAnsi="Century Gothic"/>
        </w:rPr>
        <w:t>articles;</w:t>
      </w:r>
      <w:proofErr w:type="gramEnd"/>
      <w:r w:rsidRPr="00FD0A4F">
        <w:rPr>
          <w:rFonts w:ascii="Century Gothic" w:eastAsia="Times New Roman" w:hAnsi="Century Gothic"/>
        </w:rPr>
        <w:t xml:space="preserve"> </w:t>
      </w:r>
    </w:p>
    <w:p w14:paraId="5E6CE358"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simple placing in bottles, cans, flasks, bags, cases, boxes, fixing on cards or boards and all other simple packaging </w:t>
      </w:r>
      <w:proofErr w:type="gramStart"/>
      <w:r w:rsidRPr="00FD0A4F">
        <w:rPr>
          <w:rFonts w:ascii="Century Gothic" w:eastAsia="Times New Roman" w:hAnsi="Century Gothic"/>
        </w:rPr>
        <w:t>operations;</w:t>
      </w:r>
      <w:proofErr w:type="gramEnd"/>
      <w:r w:rsidRPr="00FD0A4F">
        <w:rPr>
          <w:rFonts w:ascii="Century Gothic" w:eastAsia="Times New Roman" w:hAnsi="Century Gothic"/>
        </w:rPr>
        <w:t xml:space="preserve"> </w:t>
      </w:r>
    </w:p>
    <w:p w14:paraId="125A99FD"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affixing or printing marks, labels, logos and other like distinguishing signs on products or their </w:t>
      </w:r>
      <w:proofErr w:type="gramStart"/>
      <w:r w:rsidRPr="00FD0A4F">
        <w:rPr>
          <w:rFonts w:ascii="Century Gothic" w:eastAsia="Times New Roman" w:hAnsi="Century Gothic"/>
        </w:rPr>
        <w:t>packaging;</w:t>
      </w:r>
      <w:proofErr w:type="gramEnd"/>
      <w:r w:rsidRPr="00FD0A4F">
        <w:rPr>
          <w:rFonts w:ascii="Century Gothic" w:eastAsia="Times New Roman" w:hAnsi="Century Gothic"/>
        </w:rPr>
        <w:t xml:space="preserve"> </w:t>
      </w:r>
    </w:p>
    <w:p w14:paraId="38D22B6B"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simple mixing of products, whether or not of different kinds; mixing of sugar with any </w:t>
      </w:r>
      <w:proofErr w:type="gramStart"/>
      <w:r w:rsidRPr="00FD0A4F">
        <w:rPr>
          <w:rFonts w:ascii="Century Gothic" w:eastAsia="Times New Roman" w:hAnsi="Century Gothic"/>
        </w:rPr>
        <w:t>material;</w:t>
      </w:r>
      <w:proofErr w:type="gramEnd"/>
      <w:r w:rsidRPr="00FD0A4F">
        <w:rPr>
          <w:rFonts w:ascii="Century Gothic" w:eastAsia="Times New Roman" w:hAnsi="Century Gothic"/>
        </w:rPr>
        <w:t xml:space="preserve"> </w:t>
      </w:r>
    </w:p>
    <w:p w14:paraId="71D87DA9"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lastRenderedPageBreak/>
        <w:t xml:space="preserve">simple addition of water or dilution with water or another substance that does not materially alter the characteristics of the product, or dehydration or denaturation of </w:t>
      </w:r>
      <w:proofErr w:type="gramStart"/>
      <w:r w:rsidRPr="00FD0A4F">
        <w:rPr>
          <w:rFonts w:ascii="Century Gothic" w:eastAsia="Times New Roman" w:hAnsi="Century Gothic"/>
        </w:rPr>
        <w:t>products;</w:t>
      </w:r>
      <w:proofErr w:type="gramEnd"/>
      <w:r w:rsidRPr="00FD0A4F">
        <w:rPr>
          <w:rFonts w:ascii="Century Gothic" w:eastAsia="Times New Roman" w:hAnsi="Century Gothic"/>
        </w:rPr>
        <w:t xml:space="preserve"> </w:t>
      </w:r>
    </w:p>
    <w:p w14:paraId="1959BBC6" w14:textId="77777777" w:rsidR="00FD0A4F" w:rsidRPr="00FD0A4F" w:rsidRDefault="00FD0A4F" w:rsidP="00FD0A4F">
      <w:pPr>
        <w:pStyle w:val="ListParagraph"/>
        <w:numPr>
          <w:ilvl w:val="0"/>
          <w:numId w:val="1"/>
        </w:numPr>
        <w:rPr>
          <w:rFonts w:ascii="Century Gothic" w:eastAsia="Times New Roman" w:hAnsi="Century Gothic"/>
        </w:rPr>
      </w:pPr>
      <w:r w:rsidRPr="00FD0A4F">
        <w:rPr>
          <w:rFonts w:ascii="Century Gothic" w:eastAsia="Times New Roman" w:hAnsi="Century Gothic"/>
        </w:rPr>
        <w:t xml:space="preserve">simple assembly of parts of articles to constitute a complete article or disassembly of products into </w:t>
      </w:r>
      <w:proofErr w:type="gramStart"/>
      <w:r w:rsidRPr="00FD0A4F">
        <w:rPr>
          <w:rFonts w:ascii="Century Gothic" w:eastAsia="Times New Roman" w:hAnsi="Century Gothic"/>
        </w:rPr>
        <w:t>parts;</w:t>
      </w:r>
      <w:proofErr w:type="gramEnd"/>
      <w:r w:rsidRPr="00FD0A4F">
        <w:rPr>
          <w:rFonts w:ascii="Century Gothic" w:eastAsia="Times New Roman" w:hAnsi="Century Gothic"/>
        </w:rPr>
        <w:t xml:space="preserve"> </w:t>
      </w:r>
    </w:p>
    <w:p w14:paraId="22856CAE" w14:textId="77777777" w:rsidR="00FD0A4F" w:rsidRPr="00FD0A4F" w:rsidRDefault="00FD0A4F" w:rsidP="00FD0A4F">
      <w:pPr>
        <w:rPr>
          <w:rFonts w:ascii="Century Gothic" w:hAnsi="Century Gothic"/>
        </w:rPr>
      </w:pPr>
      <w:r w:rsidRPr="00FD0A4F">
        <w:rPr>
          <w:rFonts w:ascii="Century Gothic" w:hAnsi="Century Gothic"/>
        </w:rPr>
        <w:t> </w:t>
      </w:r>
    </w:p>
    <w:p w14:paraId="73A70934" w14:textId="77777777" w:rsidR="00FD0A4F" w:rsidRPr="00FD0A4F" w:rsidRDefault="00FD0A4F" w:rsidP="00FD0A4F">
      <w:pPr>
        <w:rPr>
          <w:rFonts w:ascii="Century Gothic" w:hAnsi="Century Gothic"/>
        </w:rPr>
      </w:pPr>
      <w:r w:rsidRPr="00FD0A4F">
        <w:rPr>
          <w:rFonts w:ascii="Century Gothic" w:hAnsi="Century Gothic"/>
        </w:rPr>
        <w:t>(Operations shall be considered simple if neither special skills nor machines, apparatus or equipment especially produced or installed are needed for carrying out those operations.)</w:t>
      </w:r>
    </w:p>
    <w:p w14:paraId="6A19005B" w14:textId="77777777" w:rsidR="00FD0A4F" w:rsidRPr="00FD0A4F" w:rsidRDefault="00FD0A4F" w:rsidP="00FD0A4F">
      <w:pPr>
        <w:rPr>
          <w:rFonts w:ascii="Century Gothic" w:hAnsi="Century Gothic"/>
        </w:rPr>
      </w:pPr>
      <w:r w:rsidRPr="00FD0A4F">
        <w:rPr>
          <w:rFonts w:ascii="Century Gothic" w:hAnsi="Century Gothic"/>
        </w:rPr>
        <w:t> </w:t>
      </w:r>
    </w:p>
    <w:p w14:paraId="5C2F959F" w14:textId="77777777" w:rsidR="00FD0A4F" w:rsidRPr="00FD0A4F" w:rsidRDefault="00FD0A4F" w:rsidP="00FD0A4F">
      <w:pPr>
        <w:rPr>
          <w:rFonts w:ascii="Century Gothic" w:hAnsi="Century Gothic"/>
        </w:rPr>
      </w:pPr>
      <w:r w:rsidRPr="00FD0A4F">
        <w:rPr>
          <w:rFonts w:ascii="Century Gothic" w:hAnsi="Century Gothic"/>
        </w:rPr>
        <w:t xml:space="preserve">If you are distributing EU-origin goods back to the EU and you have not carried out significant processing on them in the UK, the thing to check is whether the person importing the goods back into the EU could use Returned Goods Relief to avoid paying a tariff. Procedures for using this Relief differ across EU Member States (though the underlying rules are the same) but I have included the Irish guidance </w:t>
      </w:r>
      <w:hyperlink r:id="rId9" w:history="1">
        <w:r w:rsidRPr="00FD0A4F">
          <w:rPr>
            <w:rStyle w:val="Hyperlink"/>
            <w:rFonts w:ascii="Century Gothic" w:hAnsi="Century Gothic"/>
          </w:rPr>
          <w:t>here</w:t>
        </w:r>
      </w:hyperlink>
      <w:r w:rsidRPr="00FD0A4F">
        <w:rPr>
          <w:rFonts w:ascii="Century Gothic" w:hAnsi="Century Gothic"/>
        </w:rPr>
        <w:t xml:space="preserve"> as an example. The goods must be re-imported in an unaltered state, apart from any work that may have been carried out to maintain the goods in working order, and the goods cannot have been upgraded to increase their value.</w:t>
      </w:r>
    </w:p>
    <w:p w14:paraId="3F40F7E8" w14:textId="77777777" w:rsidR="00C356EB" w:rsidRDefault="00C356EB"/>
    <w:sectPr w:rsidR="00C35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7407B"/>
    <w:multiLevelType w:val="hybridMultilevel"/>
    <w:tmpl w:val="5F0CD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4F"/>
    <w:rsid w:val="00015194"/>
    <w:rsid w:val="00C356EB"/>
    <w:rsid w:val="00FD0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790D"/>
  <w15:chartTrackingRefBased/>
  <w15:docId w15:val="{7C0BB90A-20A6-49B1-806A-3433CE11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color w:val="2C3740"/>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4F"/>
    <w:pPr>
      <w:spacing w:after="0" w:line="240" w:lineRule="auto"/>
    </w:pPr>
    <w:rPr>
      <w:rFonts w:ascii="Calibri" w:hAnsi="Calibri" w:cs="Calibri"/>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0A4F"/>
    <w:rPr>
      <w:color w:val="0563C1"/>
      <w:u w:val="single"/>
    </w:rPr>
  </w:style>
  <w:style w:type="paragraph" w:styleId="ListParagraph">
    <w:name w:val="List Paragraph"/>
    <w:basedOn w:val="Normal"/>
    <w:uiPriority w:val="34"/>
    <w:qFormat/>
    <w:rsid w:val="00FD0A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gov.uk%2Fguidance%2Fcheck-if-you-can-declare-goods-you-bring-into-northern-ireland-not-at-risk-of-moving-to-the-eu-from-1-january-2021&amp;data=04%7C01%7CJames.Brewer%40beis.gov.uk%7C180c3047bbbf4dfc225708d8b9780e6e%7Ccbac700502c143ebb497e6492d1b2dd8%7C0%7C0%7C637463272576877053%7CUnknown%7CTWFpbGZsb3d8eyJWIjoiMC4wLjAwMDAiLCJQIjoiV2luMzIiLCJBTiI6Ik1haWwiLCJXVCI6Mn0%3D%7C1000&amp;sdata=Islsxyx31yZ5%2FOH%2FMx%2BjUjYez0R2v0MYna9stQCZaIA%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gov.uk%2Fguidance%2Fcheck-if-you-can-use-transit-to-move-goods-to-the-eu-and-common-transit-countries&amp;data=04%7C01%7CJames.Brewer%40beis.gov.uk%7C180c3047bbbf4dfc225708d8b9780e6e%7Ccbac700502c143ebb497e6492d1b2dd8%7C0%7C0%7C637463272576867096%7CUnknown%7CTWFpbGZsb3d8eyJWIjoiMC4wLjAwMDAiLCJQIjoiV2luMzIiLCJBTiI6Ik1haWwiLCJXVCI6Mn0%3D%7C1000&amp;sdata=L%2FmLAKCLK%2FVnXwHBXS7qs9MFZ%2FUhB1bDjJYNpyA6aN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gov.uk%2Fguidance%2Fapply-to-operate-a-customs-warehouse&amp;data=04%7C01%7CJames.Brewer%40beis.gov.uk%7C180c3047bbbf4dfc225708d8b9780e6e%7Ccbac700502c143ebb497e6492d1b2dd8%7C0%7C0%7C637463272576867096%7CUnknown%7CTWFpbGZsb3d8eyJWIjoiMC4wLjAwMDAiLCJQIjoiV2luMzIiLCJBTiI6Ik1haWwiLCJXVCI6Mn0%3D%7C1000&amp;sdata=s5X651iz13qY33pWgVwPQJIgqKbiRspWObpbTvGJ7r4%3D&amp;reserved=0" TargetMode="External"/><Relationship Id="rId11" Type="http://schemas.openxmlformats.org/officeDocument/2006/relationships/theme" Target="theme/theme1.xml"/><Relationship Id="rId5" Type="http://schemas.openxmlformats.org/officeDocument/2006/relationships/hyperlink" Target="https://eur02.safelinks.protection.outlook.com/?url=https%3A%2F%2Fwww.gov.uk%2Fgovernment%2Fpublications%2Fagreements-reached-between-the-united-kingdom-of-great-britain-and-northern-ireland-and-the-european-union&amp;data=04%7C01%7CJames.Brewer%40beis.gov.uk%7C180c3047bbbf4dfc225708d8b9780e6e%7Ccbac700502c143ebb497e6492d1b2dd8%7C0%7C0%7C637463272576857141%7CUnknown%7CTWFpbGZsb3d8eyJWIjoiMC4wLjAwMDAiLCJQIjoiV2luMzIiLCJBTiI6Ik1haWwiLCJXVCI6Mn0%3D%7C1000&amp;sdata=YN2v%2BeNNO2Go4Mlx6oqB9eBjWm5t1XArot0d5RdtFi4%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s%3A%2F%2Fwww.revenue.ie%2Fen%2Fcustoms-traders-and-agents%2Frelief-from-customs-duty-and-vat%2Fgoods-reimported-into-the-european-union%2Findex.aspx&amp;data=04%7C01%7CJames.Brewer%40beis.gov.uk%7C180c3047bbbf4dfc225708d8b9780e6e%7Ccbac700502c143ebb497e6492d1b2dd8%7C0%7C0%7C637463272576877053%7CUnknown%7CTWFpbGZsb3d8eyJWIjoiMC4wLjAwMDAiLCJQIjoiV2luMzIiLCJBTiI6Ik1haWwiLCJXVCI6Mn0%3D%7C1000&amp;sdata=wjIL75v2xB%2BNwDZ5iBKd381V3SovPhFQmsgvfU3ELd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Jackson</dc:creator>
  <cp:keywords/>
  <dc:description/>
  <cp:lastModifiedBy>Karen Jackson</cp:lastModifiedBy>
  <cp:revision>1</cp:revision>
  <dcterms:created xsi:type="dcterms:W3CDTF">2021-01-18T15:49:00Z</dcterms:created>
  <dcterms:modified xsi:type="dcterms:W3CDTF">2021-01-18T15:51:00Z</dcterms:modified>
</cp:coreProperties>
</file>